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40404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nhxb5x6n69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2 do zapytania ofertowego nr 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FORMULARZ OFERTOWY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vygyzyca6um" w:id="1"/>
      <w:bookmarkEnd w:id="1"/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miejscowość i data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nazwa Wykonawcy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adres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………………………………………………….………………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e-mail Wykonawcy (do celu komunikacji w postępowaniu)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NIP Wykonawcy (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ile nadano)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5664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Sundog spółka akcyjna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5664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ul. Warszawska 14 lok. 3,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5664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 – 063 Białystok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rr0iquy6ibv" w:id="2"/>
      <w:bookmarkEnd w:id="2"/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Działając w imieniu Wykonawcy …………………………………………………………………..……………. ………………………………………………………………………………………………….., w odpowiedzi na zapytanie ofertowe nr 5 na świadczenie usług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Quest / Narrative Designera / Projektanta warstwy narracyjnej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obejmujących projektowanie, opracowywanie i implementację warstwy narracyjnej gry komputerowej, stanowiącej środowisko implementacji systemu InteGra, realizowanego w projekcie: „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Opracowanie systemu do tworzenia nieliniowych gier RPG w silniku Unreal Engine 5, umożliwiających tworzenie spójnych psychologicznie postaci, których decyzje będą odzwierciedlały ich implikowaną psychikę, w oparciu o badania z zakresu groznawstwa, psychologii oraz technologii AI (LLM)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”, współfinansowanego w ramach umowy o dofinansowanie nr FENG.01.01-IP.02-2061/23,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oferuję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realizację przedmiotu zamówienia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zgodnie z zapytaniem ofertowym za miesiąc świadczenia usługi cenę ryczałtową brutto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 (słownie: __________________________________________________________________)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w tym: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 netto + należny podatek VAT w wysokości _____________________________________________________________________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Oświadczamy, że zapoznaliśmy się z zapytaniem ofertowym wraz z załącznikami, w szczególności opisem przedmiotu zamówienia, i nie wnosimy żadnych zastrzeżeń.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Oświadczamy, że uzyskaliśmy wszelkie konieczne informacje do przygotowania oferty.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Oświadczamy, że wyżej podana cena jest ceną ryczałtową i obejmuje wszelkie koszty wykonania zamówienia.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Oświadczamy, że uważamy się związanymi niniejszą ofertą przez okres 30 dni.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426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przypadku wyboru naszej oferty zobowiązujemy się do zawarcia z Zamawiającym umowy, na warunkach określonych we wzorze umowy stanowiącym Załącznik nr 4 do zapytania ofertowego.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426" w:hanging="426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zostałem/-am poinformowany/-a o tym, że*: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shd w:fill="ffffff" w:val="clear"/>
        <w:tabs>
          <w:tab w:val="left" w:leader="none" w:pos="851"/>
        </w:tabs>
        <w:spacing w:line="276" w:lineRule="auto"/>
        <w:ind w:left="851" w:hanging="425"/>
        <w:rPr>
          <w:rFonts w:ascii="Calibri" w:cs="Calibri" w:eastAsia="Calibri" w:hAnsi="Calibri"/>
        </w:rPr>
      </w:pPr>
      <w:bookmarkStart w:colFirst="0" w:colLast="0" w:name="_heading=h.t5mlsnhil2ly" w:id="3"/>
      <w:bookmarkEnd w:id="3"/>
      <w:r w:rsidDel="00000000" w:rsidR="00000000" w:rsidRPr="00000000">
        <w:rPr>
          <w:rFonts w:ascii="Calibri" w:cs="Calibri" w:eastAsia="Calibri" w:hAnsi="Calibri"/>
          <w:rtl w:val="0"/>
        </w:rPr>
        <w:t xml:space="preserve">administratorem moich danych osobowych wskazanych w złożonych przeze mnie dokumentach związanych z udziałem w postępowaniu o udzielenie wyżej wskazanego zamówienia (dalej jako: dane osobowe) jest Sundog spółka akcyjna z siedzibą w Białymstoku ul. Warszawska 14 lok. 3, 15-063 Białystok, e-mail: fialkowska.filipek@sundog.games, dalej jako ADO,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851" w:hanging="42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osobowe będą przetwarzane: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76" w:lineRule="auto"/>
        <w:ind w:left="1134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celu związanym z przeprowadzeniem procedury wyboru wykonawcy wyżej wskazanego zamówienia, a w przypadku wyboru mnie na wykonawcę wyżej wskazanego zamówienia, w celu realizacji – podstawa prawna art. 6 ust. 1 lit. b) Rozporządzenia Parlamentu Europejskiego i Rady (UE) 2016/679 z dnia 27 kwietnia 2016 r. w sprawie ochrony osób fizycznych w związku z przetwarzaniem danych osobowych i w sprawie swobodnego przepływu takich danych oraz uchylenia dyrektywy 95/46/WE (dalej jako RODO);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3"/>
        </w:numPr>
        <w:shd w:fill="ffffff" w:val="clear"/>
        <w:spacing w:line="276" w:lineRule="auto"/>
        <w:ind w:left="1134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 celu spełnienia przez ADO obowiązków przewidzianych w przepisach prawa, w szczególności przepisów dotyczących zasad realizacji zadań finansowanych ze środków europejskich w perspektywie finansowej 2021-2027,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przepisach podatkowych i o rachunkowości – podstawa prawna art. 6 ust. 1 lit. c) RODO w związku z innymi przepisami szczególnymi;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3"/>
        </w:numPr>
        <w:shd w:fill="ffffff" w:val="clear"/>
        <w:spacing w:line="276" w:lineRule="auto"/>
        <w:ind w:left="1134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celu związanym z dochodzeniem roszczeń i obroną przed roszczeniami związanymi z prowadzoną działalnością gospodarczą oraz kontroli, co stanowi uzasadniony interes prawny ADO – podstawa prawna art. 6 ust. 1 lit. f) RODO;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osobowe mogą być ujawnione osobom upoważnionym przez ADO, podmiotom świadczącym na rzecz ADO usługi, w tym usługi techniczne i organizacyjne, usługi prawne, usługi doradcze, usługi finansowe, innym podmiotom/osobom/organom w zakresie i na zasadach określonych przepisami prawa, wykonawcom, którzy złożą oferty w postępowaniu, a także podmiotom/organom sprawującym kontrolę nad prawidłowością realizacji projektu przez ADO, 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osobowe nie będą przekazywane do państwa trzeciego lub organizacji międzynarodowej,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osobowe będą przetwarzane przez okres przeprowadzenia procedury wyboru wykonawcy wyżej wskazanego zamówienia, a w przypadku wyboru mnie na wykonawcę wyżej wskazanego zamówienia – przez okres realizacji zamówienia, a niezależnie od powyższego przez okres: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line="276" w:lineRule="auto"/>
        <w:ind w:left="1134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wymagany przez odpowiednie przepisy prawa w zakresie przechowywania dokumentacji księgowej i podatkowej oraz dokumentacji dotyczącej realizacji projektu oraz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line="276" w:lineRule="auto"/>
        <w:ind w:left="1134" w:hanging="28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przedawnienia roszczeń określony w przepisach prawa - w celu dochodzenia roszczeń i obrony przed ewentualnymi roszczeniami;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przysługuje mi prawo żądania dostępu do treści danych osobowych oraz prawo ich sprostowania, 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przypadkach określonych przepisami prawa przysługuje mi prawo żądania usunięcia danych, żądania ograniczenia przetwarzania danych, prawo do przeniesienia danych, prawo sprzeciwu wobec przetwarzania danych, 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przysługuje mi prawo wniesienia skargi do organu nadzorczego zajmującego się ochroną danych osobowych gdy uznam, że ADO naruszył przepisy dotyczące ochrony danych osobowych; 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podanie przeze mnie danych osobowych jest dobrowolne, ale niezbędne do udział w postępowaniu o udzielenie powyższego zamówienia;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tabs>
          <w:tab w:val="left" w:leader="none" w:pos="851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osobowe nie będą wykorzystywane do zautomatyzowanego podejmowania decyzji względem mnie, w tym do profilowania. 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line="276" w:lineRule="auto"/>
        <w:ind w:left="426" w:hanging="426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zostałem/-am poinformowany/-a o tym, że z uwagi na fakt, że moje dane osobowe będą przetwarzane przez ADO do celów wynikających z prawnie uzasadnionego interesu ADO, przysługuje mi prawo do wniesienia sprzeciwu wobec przetwarzania moich danych osobowych w w/w celu z przyczyn związanych z moją szczególną sytuacją.*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line="276" w:lineRule="auto"/>
        <w:ind w:left="426" w:hanging="426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Oświadczam, że wypełniłem/-am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line="276" w:lineRule="auto"/>
        <w:ind w:left="426" w:hanging="426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Załącznikami do niniejszej Oferty, stanowiącymi jej integralną część, są: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2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pełnomocnictwo lub inny dokument potwierdzający umocowanie do podpisania oferty w imieniu Wykonawcy –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dotyczy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2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 o spełnianiu warunków udziału w postępowaniu,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2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odpis z właściwego rejestru lub z centralnej ewidencji i informacji o działalności gospodarczej –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jeżeli dotyczy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2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wykaz osób skierowanych do realizacji zamówienia.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426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…………………………………….  </w:t>
        <w:tab/>
        <w:t xml:space="preserve">         ……………………….…………………….      </w:t>
        <w:tab/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(miejscowość, data)     </w:t>
        <w:tab/>
        <w:t xml:space="preserve">                             (podpis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 Oświadczenie składają wykonawcy będący osobami fizycznymi, w tym osobami fizycznymi prowadzącymi działalność gospodarczą; w pozostałych przypadkach zaleca się wykreślenie oświadczenia.</w:t>
      </w:r>
    </w:p>
    <w:p w:rsidR="00000000" w:rsidDel="00000000" w:rsidP="00000000" w:rsidRDefault="00000000" w:rsidRPr="00000000" w14:paraId="0000003B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** W przypadku gdy wykonawca nie przekazuje danych osobowych innych niż bezpośrednio jego dotyczących lub zachodzi wyłączenie stosowania obowiązku informacyjnego, stosownie do art. 13 ust. 4 lub art. 14 ust. 5 RODO, wykonawca nie składa oświadczenia; w takim przypadku zaleca się wykreślenie oświadczenia.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2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1134" w:top="1418" w:left="1418" w:right="141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Cena powinna być wyrażona w złotych polskich albo w euro.</w:t>
      </w:r>
    </w:p>
  </w:footnote>
  <w:footnote w:id="1"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 przypadku wskazania ceny ofertowej brutto w euro, na potrzeby oceny oferty według tego kryterium, cena ofertowa brutto wyrażona w euro zostanie przeliczona na złote polskie według średniego kursu euro w stosunku do złotego, ogłoszonego przez Narodowy Bank Polski z dnia upływu terminu składania ofert i zaokrąglona do dwóch miejsc po przecinku, chyba że ceny wszystkich ofert niepodlegających odrzuceniu zostaną wyrażone w jednej walucie.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ile dotyczy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– w przypadku gdy Wykonawcą jest osoba fizyczna nieprowadząca działalności gospodarczej, wynagrodzenie jest wartością ostateczną, zawierającą wszystkie koszty Wykonawcy oraz Zamawiającego związane z wynagrodzeniem, tj. pełny koszt ponoszony przez Zamawiającego związany z wypłatą wynagrodzenia (w tym składki na ubezpieczenie zdrowotne, społeczne – jeśli dotyczy – podatek dochodowy oraz koszty PPK). Z wynagrodzenia należnego Wykonawcy, Zamawiający dokona potrącenia podatku dochodowego od osób fizycznych, składek na ubezpieczenie społeczne i ubezpieczenie zdrowotne i koszty PPK (obciążające Wykonawcę i Zamawiającego), zgodnie z powszechnie obowiązującymi przepisami. W takim wypadku Wykonawca nie wskazuje wartości netto i VAT. 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760720" cy="774700"/>
          <wp:effectExtent b="0" l="0" r="0" t="0"/>
          <wp:docPr descr="Obraz zawierający tekst, zrzut ekranu, Czcionka" id="1497592837" name="image1.jpg"/>
          <a:graphic>
            <a:graphicData uri="http://schemas.openxmlformats.org/drawingml/2006/picture">
              <pic:pic>
                <pic:nvPicPr>
                  <pic:cNvPr descr="Obraz zawierający tekst, zrzut ekranu, Czcionk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760720" cy="774700"/>
          <wp:effectExtent b="0" l="0" r="0" t="0"/>
          <wp:docPr descr="Obraz zawierający tekst, zrzut ekranu, Czcionka" id="1497592838" name="image1.jpg"/>
          <a:graphic>
            <a:graphicData uri="http://schemas.openxmlformats.org/drawingml/2006/picture">
              <pic:pic>
                <pic:nvPicPr>
                  <pic:cNvPr descr="Obraz zawierający tekst, zrzut ekranu, Czcionk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84" w:hanging="284"/>
      </w:pPr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u w:val="none"/>
        <w:shd w:fill="auto" w:val="clear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219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910" w:hanging="360"/>
      </w:pPr>
      <w:rPr/>
    </w:lvl>
    <w:lvl w:ilvl="2">
      <w:start w:val="1"/>
      <w:numFmt w:val="lowerRoman"/>
      <w:lvlText w:val="%3."/>
      <w:lvlJc w:val="right"/>
      <w:pPr>
        <w:ind w:left="3630" w:hanging="180"/>
      </w:pPr>
      <w:rPr/>
    </w:lvl>
    <w:lvl w:ilvl="3">
      <w:start w:val="1"/>
      <w:numFmt w:val="decimal"/>
      <w:lvlText w:val="%4."/>
      <w:lvlJc w:val="left"/>
      <w:pPr>
        <w:ind w:left="4350" w:hanging="360"/>
      </w:pPr>
      <w:rPr/>
    </w:lvl>
    <w:lvl w:ilvl="4">
      <w:start w:val="1"/>
      <w:numFmt w:val="lowerLetter"/>
      <w:lvlText w:val="%5."/>
      <w:lvlJc w:val="left"/>
      <w:pPr>
        <w:ind w:left="5070" w:hanging="360"/>
      </w:pPr>
      <w:rPr/>
    </w:lvl>
    <w:lvl w:ilvl="5">
      <w:start w:val="1"/>
      <w:numFmt w:val="lowerRoman"/>
      <w:lvlText w:val="%6."/>
      <w:lvlJc w:val="right"/>
      <w:pPr>
        <w:ind w:left="5790" w:hanging="180"/>
      </w:pPr>
      <w:rPr/>
    </w:lvl>
    <w:lvl w:ilvl="6">
      <w:start w:val="1"/>
      <w:numFmt w:val="decimal"/>
      <w:lvlText w:val="%7."/>
      <w:lvlJc w:val="left"/>
      <w:pPr>
        <w:ind w:left="6510" w:hanging="360"/>
      </w:pPr>
      <w:rPr/>
    </w:lvl>
    <w:lvl w:ilvl="7">
      <w:start w:val="1"/>
      <w:numFmt w:val="lowerLetter"/>
      <w:lvlText w:val="%8."/>
      <w:lvlJc w:val="left"/>
      <w:pPr>
        <w:ind w:left="7230" w:hanging="360"/>
      </w:pPr>
      <w:rPr/>
    </w:lvl>
    <w:lvl w:ilvl="8">
      <w:start w:val="1"/>
      <w:numFmt w:val="lowerRoman"/>
      <w:lvlText w:val="%9."/>
      <w:lvlJc w:val="right"/>
      <w:pPr>
        <w:ind w:left="795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abstractNum w:abstractNumId="5">
    <w:lvl w:ilvl="0">
      <w:start w:val="7"/>
      <w:numFmt w:val="decimal"/>
      <w:lvlText w:val="%1."/>
      <w:lvlJc w:val="left"/>
      <w:pPr>
        <w:ind w:left="284" w:hanging="284"/>
      </w:pPr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09" w:hanging="282.9999999999999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416" w:hanging="20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97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69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48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13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85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646" w:hanging="11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>
        <w:rFonts w:ascii="Calibri" w:cs="Calibri" w:eastAsia="Calibri" w:hAnsi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basedOn w:val="Domylnaczcionkaakapitu"/>
    <w:uiPriority w:val="99"/>
    <w:semiHidden w:val="1"/>
    <w:unhideWhenUsed w:val="1"/>
    <w:rsid w:val="004577F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 w:val="1"/>
    <w:rsid w:val="004577F9"/>
    <w:pPr>
      <w:widowControl w:val="0"/>
      <w:suppressAutoHyphens w:val="1"/>
      <w:spacing w:after="120"/>
    </w:pPr>
    <w:rPr>
      <w:rFonts w:eastAsia="Lucida Sans Unicode"/>
      <w:kern w:val="2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4577F9"/>
    <w:rPr>
      <w:rFonts w:eastAsia="Lucida Sans Unicode"/>
      <w:lang w:eastAsia="ar-SA"/>
    </w:rPr>
  </w:style>
  <w:style w:type="paragraph" w:styleId="Akapitzlist">
    <w:name w:val="List Paragraph"/>
    <w:uiPriority w:val="34"/>
    <w:qFormat w:val="1"/>
    <w:rsid w:val="004577F9"/>
    <w:pPr>
      <w:spacing w:after="200" w:line="276" w:lineRule="auto"/>
      <w:ind w:left="720"/>
      <w:jc w:val="left"/>
    </w:pPr>
    <w:rPr>
      <w:rFonts w:ascii="Calibri" w:cs="Calibri" w:eastAsia="Calibri" w:hAnsi="Calibri"/>
      <w:color w:val="000000"/>
      <w:kern w:val="0"/>
      <w:sz w:val="22"/>
      <w:szCs w:val="22"/>
      <w:u w:color="000000"/>
      <w:lang w:eastAsia="pl-PL" w:val="en-US"/>
    </w:rPr>
  </w:style>
  <w:style w:type="paragraph" w:styleId="Normalny1" w:customStyle="1">
    <w:name w:val="Normalny1"/>
    <w:autoRedefine w:val="1"/>
    <w:rsid w:val="0028121F"/>
    <w:pPr>
      <w:tabs>
        <w:tab w:val="left" w:pos="0"/>
      </w:tabs>
      <w:spacing w:line="276" w:lineRule="auto"/>
      <w:jc w:val="left"/>
    </w:pPr>
    <w:rPr>
      <w:rFonts w:ascii="Calibri" w:cs="Calibri" w:eastAsia="Trebuchet MS" w:hAnsi="Calibri"/>
      <w:kern w:val="0"/>
      <w:sz w:val="22"/>
      <w:szCs w:val="22"/>
      <w:u w:color="000000"/>
      <w:lang w:eastAsia="pl-PL"/>
    </w:rPr>
  </w:style>
  <w:style w:type="paragraph" w:styleId="Akapitzlist1" w:customStyle="1">
    <w:name w:val="Akapit z listą1"/>
    <w:rsid w:val="004577F9"/>
    <w:pPr>
      <w:spacing w:line="240" w:lineRule="auto"/>
      <w:ind w:left="708"/>
      <w:jc w:val="left"/>
    </w:pPr>
    <w:rPr>
      <w:rFonts w:cs="Arial Unicode MS" w:eastAsia="Arial Unicode MS"/>
      <w:color w:val="000000"/>
      <w:kern w:val="0"/>
      <w:u w:color="000000"/>
      <w:lang w:eastAsia="pl-PL"/>
    </w:rPr>
  </w:style>
  <w:style w:type="character" w:styleId="Wyrnieniedelikatne">
    <w:name w:val="Subtle Emphasis"/>
    <w:basedOn w:val="Domylnaczcionkaakapitu"/>
    <w:uiPriority w:val="19"/>
    <w:qFormat w:val="1"/>
    <w:rsid w:val="004577F9"/>
    <w:rPr>
      <w:i w:val="1"/>
      <w:iCs w:val="1"/>
      <w:color w:val="404040" w:themeColor="text1" w:themeTint="0000BF"/>
    </w:rPr>
  </w:style>
  <w:style w:type="character" w:styleId="Brak" w:customStyle="1">
    <w:name w:val="Brak"/>
    <w:rsid w:val="004577F9"/>
  </w:style>
  <w:style w:type="character" w:styleId="Uwydatnienie">
    <w:name w:val="Emphasis"/>
    <w:basedOn w:val="Domylnaczcionkaakapitu"/>
    <w:uiPriority w:val="20"/>
    <w:qFormat w:val="1"/>
    <w:rsid w:val="004577F9"/>
    <w:rPr>
      <w:i w:val="1"/>
      <w:iCs w:val="1"/>
    </w:rPr>
  </w:style>
  <w:style w:type="numbering" w:styleId="Zaimportowanystyl43" w:customStyle="1">
    <w:name w:val="Zaimportowany styl 43"/>
    <w:rsid w:val="004577F9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 w:val="1"/>
    <w:rsid w:val="004577F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577F9"/>
    <w:rPr>
      <w:rFonts w:eastAsia="Times New Roman"/>
      <w:kern w:val="0"/>
    </w:rPr>
  </w:style>
  <w:style w:type="paragraph" w:styleId="Stopka">
    <w:name w:val="footer"/>
    <w:basedOn w:val="Normalny"/>
    <w:link w:val="StopkaZnak"/>
    <w:uiPriority w:val="99"/>
    <w:unhideWhenUsed w:val="1"/>
    <w:rsid w:val="004577F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577F9"/>
    <w:rPr>
      <w:rFonts w:eastAsia="Times New Roman"/>
      <w:kern w:val="0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577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4577F9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4577F9"/>
    <w:rPr>
      <w:rFonts w:eastAsia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577F9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577F9"/>
    <w:rPr>
      <w:rFonts w:eastAsia="Times New Roman"/>
      <w:b w:val="1"/>
      <w:bCs w:val="1"/>
      <w:kern w:val="0"/>
      <w:sz w:val="20"/>
      <w:szCs w:val="20"/>
    </w:rPr>
  </w:style>
  <w:style w:type="paragraph" w:styleId="Poprawka">
    <w:name w:val="Revision"/>
    <w:hidden w:val="1"/>
    <w:uiPriority w:val="99"/>
    <w:semiHidden w:val="1"/>
    <w:rsid w:val="00F03030"/>
    <w:pPr>
      <w:spacing w:line="240" w:lineRule="auto"/>
      <w:jc w:val="left"/>
    </w:pPr>
    <w:rPr>
      <w:rFonts w:eastAsia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D8277B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D8277B"/>
    <w:rPr>
      <w:rFonts w:eastAsia="Times New Roman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D8277B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d+iV4VW7aAKQXYvdb7JxK94Cg==">CgMxLjAyDmgubm5oeGI1eDZuNjl4Mg1oLnZ5Z3l6eWNhNnVtMg5oLmhycjBpcXV5NmlidjIOaC50NW1sc25oaWwybHk4AHIhMVVmRDlIaUw1ekU3S0d1Vy1FR2tOODJEeXZCMlBQRnFM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2025-09-30T12:49:00Z</dcterms:created>
</cp:coreProperties>
</file>